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2C24D21" w:rsidR="00B66C63" w:rsidRPr="00E46A47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E46A47">
        <w:rPr>
          <w:color w:val="00362C"/>
          <w:lang w:val="en-US"/>
        </w:rPr>
        <w:t xml:space="preserve">Subcontractor´s certificate </w:t>
      </w:r>
      <w:r w:rsidR="00C44274" w:rsidRPr="00E46A47">
        <w:rPr>
          <w:color w:val="00362C"/>
          <w:lang w:val="en-US"/>
        </w:rPr>
        <w:t xml:space="preserve">– </w:t>
      </w:r>
      <w:r w:rsidR="00452108" w:rsidRPr="00E46A47">
        <w:rPr>
          <w:color w:val="00362C"/>
          <w:lang w:val="en-US"/>
        </w:rPr>
        <w:t>Plastic and rubber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624E62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E46A47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E46A47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E46A47">
        <w:rPr>
          <w:b/>
          <w:bCs/>
          <w:color w:val="008387"/>
          <w:sz w:val="14"/>
          <w:szCs w:val="14"/>
          <w:lang w:val="en-GB"/>
        </w:rPr>
        <w:t>      </w:t>
      </w:r>
      <w:r w:rsidRPr="00E46A47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E46A47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E46A47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</w:t>
            </w:r>
            <w:r w:rsidRPr="00E46A47">
              <w:rPr>
                <w:color w:val="008387"/>
                <w:sz w:val="14"/>
                <w:szCs w:val="14"/>
                <w:lang w:val="en-GB"/>
              </w:rPr>
              <w:t>     </w:t>
            </w:r>
            <w:r w:rsidRPr="00E46A47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624E62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>
              <w:fldChar w:fldCharType="begin"/>
            </w:r>
            <w:r w:rsidRPr="00624E62">
              <w:rPr>
                <w:lang w:val="en-US"/>
              </w:rPr>
              <w:instrText>HYPERLINK "https://echa.europa.eu/candidate-list-table"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>
              <w:fldChar w:fldCharType="begin"/>
            </w:r>
            <w:r w:rsidRPr="00624E62">
              <w:rPr>
                <w:lang w:val="en-US"/>
              </w:rPr>
              <w:instrText>HYPERLINK "https://echa.europa.eu/documents/10162/2324906/articles_en.pdf"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4F95F116" w:rsidR="00990C46" w:rsidRDefault="00990C46" w:rsidP="00990C46">
      <w:pPr>
        <w:pStyle w:val="Brdtext"/>
        <w:rPr>
          <w:color w:val="69BD28"/>
          <w:sz w:val="28"/>
        </w:rPr>
      </w:pPr>
    </w:p>
    <w:p w14:paraId="39A7DEF0" w14:textId="77777777" w:rsidR="00C71675" w:rsidRPr="00E46A47" w:rsidRDefault="00C71675" w:rsidP="00C71675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459276957"/>
      <w:r w:rsidRPr="00E46A47">
        <w:rPr>
          <w:rFonts w:ascii="Calibri" w:hAnsi="Calibri" w:cs="Calibri"/>
          <w:color w:val="008387"/>
          <w:sz w:val="28"/>
          <w:szCs w:val="28"/>
        </w:rPr>
        <w:t>2.1.4</w:t>
      </w:r>
      <w:r w:rsidRPr="00E46A47">
        <w:rPr>
          <w:color w:val="008387"/>
          <w:sz w:val="14"/>
          <w:szCs w:val="14"/>
        </w:rPr>
        <w:t>     </w:t>
      </w:r>
      <w:r w:rsidRPr="00E46A47">
        <w:rPr>
          <w:rFonts w:ascii="Calibri" w:hAnsi="Calibri" w:cs="Calibri"/>
          <w:color w:val="008387"/>
          <w:sz w:val="28"/>
          <w:szCs w:val="28"/>
        </w:rPr>
        <w:t>Plast</w:t>
      </w:r>
      <w:bookmarkEnd w:id="4"/>
      <w:r w:rsidRPr="00E46A47">
        <w:rPr>
          <w:rFonts w:ascii="Calibri" w:hAnsi="Calibri" w:cs="Calibri"/>
          <w:color w:val="008387"/>
          <w:sz w:val="28"/>
          <w:szCs w:val="28"/>
        </w:rPr>
        <w:t xml:space="preserve">ic and </w:t>
      </w:r>
      <w:proofErr w:type="spellStart"/>
      <w:r w:rsidRPr="00E46A47">
        <w:rPr>
          <w:rFonts w:ascii="Calibri" w:hAnsi="Calibri" w:cs="Calibri"/>
          <w:color w:val="008387"/>
          <w:sz w:val="28"/>
          <w:szCs w:val="28"/>
        </w:rPr>
        <w:t>rubber</w:t>
      </w:r>
      <w:proofErr w:type="spellEnd"/>
    </w:p>
    <w:tbl>
      <w:tblPr>
        <w:tblW w:w="9498" w:type="dxa"/>
        <w:tblInd w:w="108" w:type="dxa"/>
        <w:shd w:val="clear" w:color="auto" w:fill="D0CECE" w:themeFill="background2" w:themeFillShade="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71675" w:rsidRPr="00624E62" w14:paraId="63566ECC" w14:textId="77777777" w:rsidTr="00C71675">
        <w:trPr>
          <w:trHeight w:val="624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6E8E" w14:textId="77777777" w:rsidR="00C71675" w:rsidRPr="00C71675" w:rsidRDefault="00C71675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bookmarkStart w:id="5" w:name="_Hlk85200093"/>
            <w:bookmarkStart w:id="6" w:name="_Hlk85621041"/>
            <w:bookmarkEnd w:id="5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This section includes plastic parts, rubber parts, padding materials that contain plastic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cellular plastic or polyurethane foam), woven plastic, artificial leather and plastic coating on textiles and leather.</w:t>
            </w:r>
            <w:bookmarkEnd w:id="6"/>
          </w:p>
          <w:p w14:paraId="0F3E47D5" w14:textId="77777777" w:rsidR="00C71675" w:rsidRPr="00C71675" w:rsidRDefault="00C71675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Woven plastic/artificial leather marked with 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Oeko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-Tex 100 (product class I, II) meets all the requirements except for 2.1.4.3 which must be verified separately.</w:t>
            </w:r>
          </w:p>
        </w:tc>
      </w:tr>
    </w:tbl>
    <w:p w14:paraId="56A9EA7F" w14:textId="77777777" w:rsidR="00C71675" w:rsidRPr="00C71675" w:rsidRDefault="00C71675" w:rsidP="00990C46">
      <w:pPr>
        <w:pStyle w:val="Brdtext"/>
        <w:rPr>
          <w:color w:val="69BD28"/>
          <w:sz w:val="28"/>
          <w:lang w:val="en-US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3655"/>
      </w:tblGrid>
      <w:tr w:rsidR="00452108" w:rsidRPr="00624E62" w14:paraId="50F062E1" w14:textId="77777777" w:rsidTr="00452108">
        <w:trPr>
          <w:trHeight w:val="567"/>
        </w:trPr>
        <w:tc>
          <w:tcPr>
            <w:tcW w:w="949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6B0C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>2.1.4.1</w:t>
            </w:r>
            <w:r w:rsidRPr="00E46A47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Flame retardants in plastic/rubber</w:t>
            </w:r>
          </w:p>
        </w:tc>
      </w:tr>
      <w:tr w:rsidR="00452108" w:rsidRPr="00624E62" w14:paraId="0B1756FF" w14:textId="77777777" w:rsidTr="00452108">
        <w:trPr>
          <w:trHeight w:val="810"/>
        </w:trPr>
        <w:tc>
          <w:tcPr>
            <w:tcW w:w="949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426F" w14:textId="5CF858FB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one of the flame retardants below have been actively added or that the levels do not exceed 0.1% by weight, 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val="en-US" w:eastAsia="sv-SE"/>
              </w:rPr>
              <w:t>must be available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. Electronics (e.g. electric motors and electrical cables) are exempted. 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Small plastic parts &lt;100 g (</w:t>
            </w:r>
            <w:proofErr w:type="spell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are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excluded from this requirement.</w:t>
            </w:r>
          </w:p>
        </w:tc>
      </w:tr>
      <w:tr w:rsidR="00452108" w:rsidRPr="00452108" w14:paraId="628F0611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30BB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Polybrominated biphenyls (PBBs)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4356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59536-65-1</w:t>
            </w:r>
          </w:p>
        </w:tc>
      </w:tr>
      <w:tr w:rsidR="00452108" w:rsidRPr="00452108" w14:paraId="2B397218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B37D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Oktabromdiphenylether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 (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oktaBDE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78CF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32536-52-0</w:t>
            </w:r>
          </w:p>
        </w:tc>
      </w:tr>
      <w:tr w:rsidR="00452108" w:rsidRPr="00452108" w14:paraId="4EDDB16A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D4D7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(2,3-dibrompropyl) phosphate (TBPP)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18F1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126-72-7</w:t>
            </w:r>
          </w:p>
        </w:tc>
      </w:tr>
      <w:tr w:rsidR="00452108" w:rsidRPr="00452108" w14:paraId="2A003E08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FD83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(1-aziridinyl) phosphine oxide (TEPA)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4170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5455-55-1</w:t>
            </w:r>
          </w:p>
        </w:tc>
      </w:tr>
      <w:tr w:rsidR="00452108" w:rsidRPr="00452108" w14:paraId="481EAD2E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724D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Tris (2 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chlorethyl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 phosphate (TCEP)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D30E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115-96-8</w:t>
            </w:r>
          </w:p>
        </w:tc>
      </w:tr>
      <w:tr w:rsidR="00452108" w:rsidRPr="00452108" w14:paraId="70FAE956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A988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Tris(1,3-dichloroisopropyl)phosphate (TDCPP)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AEDB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37DDA347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7FCC430D" w14:textId="77777777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A35361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935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6681D3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34174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334B3AC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2039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2DA9240" w14:textId="77777777" w:rsidR="00452108" w:rsidRP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624E62" w14:paraId="77D68815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AC5F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>2.1.4.2</w:t>
            </w:r>
            <w:r w:rsidRPr="00E46A47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Softeners/phthalates in plastic/rubber</w:t>
            </w:r>
          </w:p>
        </w:tc>
      </w:tr>
      <w:tr w:rsidR="00452108" w:rsidRPr="00624E62" w14:paraId="5886C7C8" w14:textId="77777777" w:rsidTr="00452108">
        <w:trPr>
          <w:trHeight w:val="97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8A15" w14:textId="668A0568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phthalates/softeners classified as </w:t>
            </w:r>
            <w:r w:rsidR="00452108" w:rsidRPr="00452108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val="en-US" w:eastAsia="sv-SE"/>
              </w:rPr>
              <w:t>hazard classification H340, H350, H360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have actively been added and that the measured level does not exceed 0.1% by weight/substance and component, must be available. Small plastic parts (</w:t>
            </w:r>
            <w:proofErr w:type="spell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  <w:p w14:paraId="2057849A" w14:textId="681B4F60" w:rsidR="00452108" w:rsidRPr="00C15808" w:rsidRDefault="00452108" w:rsidP="00C158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72FEB2BD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66F83ADA" w14:textId="7F00B7A8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45210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BF69B74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80858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EB69E50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9137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5EE42F7D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9778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5AB3A91" w14:textId="5B5DC788" w:rsid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15808" w:rsidRPr="00624E62" w14:paraId="6E04ABE5" w14:textId="77777777" w:rsidTr="000269B1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0A8D" w14:textId="77777777" w:rsidR="00C15808" w:rsidRPr="00E46A47" w:rsidRDefault="00C15808" w:rsidP="000269B1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>2.1.4.2</w:t>
            </w:r>
            <w:r w:rsidRPr="00E46A47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Softeners/phthalates in plastic/rubber</w:t>
            </w:r>
          </w:p>
        </w:tc>
      </w:tr>
      <w:tr w:rsidR="00C15808" w:rsidRPr="00452108" w14:paraId="65E3A753" w14:textId="77777777" w:rsidTr="000269B1">
        <w:trPr>
          <w:trHeight w:val="97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94C9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  <w:p w14:paraId="582ED50F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spell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</w:t>
            </w:r>
            <w:proofErr w:type="gram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are</w:t>
            </w:r>
            <w:proofErr w:type="gram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not covered by the requirement.</w:t>
            </w:r>
          </w:p>
          <w:p w14:paraId="17B08BD3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 </w:t>
            </w:r>
          </w:p>
          <w:p w14:paraId="6AF0DC4A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DNOP (CAS-nr: 117-84-0)</w:t>
            </w:r>
          </w:p>
          <w:p w14:paraId="353FFD64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DIDP (CAS-nr: 68515-49-1)</w:t>
            </w:r>
          </w:p>
          <w:p w14:paraId="72E8BE91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DINP (CAS-nr: 68515-48-0)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C15808" w14:paraId="49D350F2" w14:textId="77777777" w:rsidTr="000269B1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699715A8" w14:textId="77777777" w:rsidR="00C15808" w:rsidRPr="00712730" w:rsidRDefault="00C158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45210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426CD8F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9328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3FA8C6A2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4200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48D90CF8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1229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7BC88F2" w14:textId="56DE6BE7" w:rsidR="00C15808" w:rsidRDefault="00C158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2DDE5B67" w14:textId="77777777" w:rsidR="00C15808" w:rsidRPr="00452108" w:rsidRDefault="00C158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452108" w14:paraId="7D6EF62A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B0A1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eastAsia="sv-SE"/>
              </w:rPr>
              <w:t>2.1.4.3</w:t>
            </w:r>
            <w:r w:rsidRPr="00E46A47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eastAsia="sv-SE"/>
              </w:rPr>
              <w:t>        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PVC</w:t>
            </w:r>
          </w:p>
        </w:tc>
      </w:tr>
      <w:tr w:rsidR="00452108" w:rsidRPr="00624E62" w14:paraId="3D0BE78D" w14:textId="77777777" w:rsidTr="00452108">
        <w:trPr>
          <w:trHeight w:val="115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95C2" w14:textId="2BA39597" w:rsidR="00452108" w:rsidRPr="00452108" w:rsidRDefault="0046702A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I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ncluded plastic parts including coated fabrics/artificial leather, do not contain PVC must be available. Electrical components (e.g. power cables) and hospital/urine textile or coated fabric/artificial leather on furniture in healthcare environment where regular disinfection with alcohol is required are excluded from this requirement. Small plastic parts &lt;100 g (</w:t>
            </w:r>
            <w:proofErr w:type="spell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are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excluded from this requirement.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4A574B70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77FB84A3" w14:textId="332EBA43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45210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71C582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64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656DA7A7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385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3AC59E5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36202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CBEEF48" w14:textId="7489197C" w:rsidR="00452108" w:rsidRP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val="en-US"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452108" w14:paraId="3955DFFD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5595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eastAsia="sv-SE"/>
              </w:rPr>
              <w:t>2.1.4.4</w:t>
            </w:r>
            <w:r w:rsidRPr="00E46A47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eastAsia="sv-SE"/>
              </w:rPr>
              <w:t>        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Pigments in plastics/rubber</w:t>
            </w:r>
          </w:p>
        </w:tc>
      </w:tr>
      <w:tr w:rsidR="00452108" w:rsidRPr="00624E62" w14:paraId="50060C25" w14:textId="77777777" w:rsidTr="00452108">
        <w:trPr>
          <w:trHeight w:val="1101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C2DB" w14:textId="696F6CA5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pigments or additives based on lead, cadmium, tin, chromium VI or mercury have been actively added or that the levels do not exceed 0.01% by weight per component. Small plastic parts &lt;100 g (</w:t>
            </w:r>
            <w:proofErr w:type="spell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are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excluded from this requirement.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712730" w14:paraId="2EE77D58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5CAC835B" w14:textId="77777777" w:rsidR="00712730" w:rsidRPr="00712730" w:rsidRDefault="00712730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382AE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466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2D2A88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40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697F6E5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190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E5BC6CE" w14:textId="443C63E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0B55AF0" w14:textId="6448715A" w:rsidR="00452108" w:rsidRDefault="00452108" w:rsidP="00452108">
      <w:pPr>
        <w:spacing w:line="207" w:lineRule="atLeast"/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</w:pPr>
      <w:r w:rsidRPr="00452108"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  <w:t> </w:t>
      </w:r>
    </w:p>
    <w:p w14:paraId="0191472B" w14:textId="77777777" w:rsidR="00E46A47" w:rsidRDefault="00E46A47" w:rsidP="00452108">
      <w:pPr>
        <w:spacing w:line="207" w:lineRule="atLeast"/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</w:pPr>
    </w:p>
    <w:p w14:paraId="3F99CE43" w14:textId="77777777" w:rsidR="00E46A47" w:rsidRPr="00452108" w:rsidRDefault="00E46A47" w:rsidP="00452108">
      <w:pPr>
        <w:spacing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624E62" w14:paraId="44F2BAB4" w14:textId="77777777" w:rsidTr="00C71675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9262" w14:textId="77777777" w:rsidR="00452108" w:rsidRPr="00E46A47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E46A47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lastRenderedPageBreak/>
              <w:t>2.1.4.5</w:t>
            </w:r>
            <w:r w:rsidRPr="00E46A47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E46A47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Short-Chain Chlorinated Paraffin (SCCPs) in plastic/rubber</w:t>
            </w:r>
          </w:p>
        </w:tc>
      </w:tr>
      <w:tr w:rsidR="00452108" w:rsidRPr="00624E62" w14:paraId="7D975C2C" w14:textId="77777777" w:rsidTr="00C71675">
        <w:trPr>
          <w:trHeight w:val="1042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6408" w14:textId="3513D3E2" w:rsidR="00452108" w:rsidRPr="00452108" w:rsidRDefault="0046702A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short-chain chlorinated paraffins (SCCPs) have been actively added or are included, must be available. Content must not exceed 0.01% by weight as measured value per component. Small plastic parts &lt;100 g (</w:t>
            </w:r>
            <w:proofErr w:type="spell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are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excluded from this requirement.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5"/>
        <w:gridCol w:w="1621"/>
        <w:gridCol w:w="1486"/>
        <w:gridCol w:w="2236"/>
      </w:tblGrid>
      <w:tr w:rsidR="00C71675" w14:paraId="35509DD4" w14:textId="77777777" w:rsidTr="00C71675">
        <w:trPr>
          <w:trHeight w:val="570"/>
        </w:trPr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31911844" w14:textId="77777777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265CAFE3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6307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4CD4605F" w14:textId="6A3D2873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56316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56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A81EC3D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059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96F4AF5" w14:textId="77777777" w:rsidR="00960A81" w:rsidRPr="00712730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423C7F86" w14:textId="30A7E0BE" w:rsidR="00712730" w:rsidRPr="00712730" w:rsidRDefault="00712730" w:rsidP="00FD5572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relates meets the above requirements according to </w:t>
      </w:r>
      <w:proofErr w:type="spellStart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202</w:t>
      </w:r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3-04-01 </w:t>
      </w:r>
      <w:proofErr w:type="spellStart"/>
      <w:r>
        <w:rPr>
          <w:b/>
          <w:bCs/>
          <w:color w:val="808080" w:themeColor="background1" w:themeShade="80"/>
          <w:sz w:val="24"/>
          <w:szCs w:val="24"/>
          <w:lang w:val="en"/>
        </w:rPr>
        <w:t>ver</w:t>
      </w:r>
      <w:proofErr w:type="spellEnd"/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 15</w:t>
      </w: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.</w:t>
      </w:r>
    </w:p>
    <w:p w14:paraId="2051E6B9" w14:textId="7920E55A" w:rsidR="00864F40" w:rsidRPr="0071273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7B7C9024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12730">
        <w:rPr>
          <w:b/>
          <w:bCs/>
          <w:color w:val="808080" w:themeColor="background1" w:themeShade="80"/>
          <w:sz w:val="24"/>
          <w:szCs w:val="24"/>
        </w:rPr>
        <w:t>Supplier</w:t>
      </w:r>
      <w:proofErr w:type="spellEnd"/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7F709E7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Place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698FFBAD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Date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154D2039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12730">
        <w:rPr>
          <w:b/>
          <w:bCs/>
          <w:color w:val="808080" w:themeColor="background1" w:themeShade="80"/>
          <w:sz w:val="24"/>
          <w:szCs w:val="24"/>
        </w:rPr>
        <w:t>Signature</w:t>
      </w:r>
      <w:proofErr w:type="spellEnd"/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4BB7FDF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Print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name</w:t>
      </w:r>
      <w:proofErr w:type="spellEnd"/>
      <w:r w:rsidR="00864F40"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E6CC" w14:textId="77777777" w:rsidR="00E46A47" w:rsidRDefault="00E46A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9A95" w14:textId="77777777" w:rsidR="00E46A47" w:rsidRDefault="00E46A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0D4D" w14:textId="77777777" w:rsidR="00E46A47" w:rsidRDefault="00E46A4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57D91DA5" w:rsidR="001E4C52" w:rsidRPr="00452108" w:rsidRDefault="00E46A47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D48425F" wp14:editId="517F95BB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452108" w:rsidRPr="005422FE">
      <w:rPr>
        <w:rFonts w:asciiTheme="majorHAnsi" w:hAnsiTheme="majorHAnsi" w:cstheme="majorHAnsi"/>
        <w:color w:val="747678"/>
        <w:sz w:val="22"/>
        <w:lang w:val="en-US"/>
      </w:rPr>
      <w:t>Plast</w:t>
    </w:r>
    <w:r w:rsidR="00452108">
      <w:rPr>
        <w:rFonts w:asciiTheme="majorHAnsi" w:hAnsiTheme="majorHAnsi" w:cstheme="majorHAnsi"/>
        <w:color w:val="747678"/>
        <w:sz w:val="22"/>
        <w:lang w:val="en-US"/>
      </w:rPr>
      <w:t>ic and rubber</w:t>
    </w:r>
  </w:p>
  <w:p w14:paraId="1628226B" w14:textId="697EE97B" w:rsidR="00DE5A15" w:rsidRPr="00452108" w:rsidRDefault="00E46A47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2025-07-10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EAE2" w14:textId="77777777" w:rsidR="00E46A47" w:rsidRDefault="00E46A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XLaUwvef0kamtQgodWVgUzv7G1+B6oN/9th/kIcXWbmOVWE+Z88jm4pLdk+K71vGwH/7rpRfmqUoJOn2rgdQ==" w:salt="vbmJnDKMjZ/HvpizQdknEQ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E4C52"/>
    <w:rsid w:val="00226702"/>
    <w:rsid w:val="00236BD3"/>
    <w:rsid w:val="002855A6"/>
    <w:rsid w:val="002949B4"/>
    <w:rsid w:val="003122A8"/>
    <w:rsid w:val="003172A4"/>
    <w:rsid w:val="003E6A0C"/>
    <w:rsid w:val="00452108"/>
    <w:rsid w:val="0046702A"/>
    <w:rsid w:val="00470E0E"/>
    <w:rsid w:val="00483F1D"/>
    <w:rsid w:val="004B7F59"/>
    <w:rsid w:val="00510619"/>
    <w:rsid w:val="005872E8"/>
    <w:rsid w:val="005E3F03"/>
    <w:rsid w:val="00613968"/>
    <w:rsid w:val="0062451D"/>
    <w:rsid w:val="00624E62"/>
    <w:rsid w:val="00691893"/>
    <w:rsid w:val="006D73B1"/>
    <w:rsid w:val="00712730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208DD"/>
    <w:rsid w:val="0086156F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66C63"/>
    <w:rsid w:val="00BA0746"/>
    <w:rsid w:val="00BB0789"/>
    <w:rsid w:val="00BE7543"/>
    <w:rsid w:val="00C15808"/>
    <w:rsid w:val="00C431CE"/>
    <w:rsid w:val="00C44274"/>
    <w:rsid w:val="00C71675"/>
    <w:rsid w:val="00D27C8D"/>
    <w:rsid w:val="00D406AB"/>
    <w:rsid w:val="00D76873"/>
    <w:rsid w:val="00D81B42"/>
    <w:rsid w:val="00DE5A15"/>
    <w:rsid w:val="00DE5C63"/>
    <w:rsid w:val="00DF3B6F"/>
    <w:rsid w:val="00E277DD"/>
    <w:rsid w:val="00E3200D"/>
    <w:rsid w:val="00E46A47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08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22A8"/>
    <w:rsid w:val="003172A4"/>
    <w:rsid w:val="004C3125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125"/>
    <w:rPr>
      <w:color w:val="808080"/>
    </w:rPr>
  </w:style>
  <w:style w:type="paragraph" w:customStyle="1" w:styleId="94DFA168FF5A44CC860E11658B4C58E8">
    <w:name w:val="94DFA168FF5A44CC860E11658B4C58E8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5BF77-DF9A-4DE5-A142-7FEB299FE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2025-07-10T13:56:00Z</dcterms:created>
  <dcterms:modified xsi:type="dcterms:W3CDTF">2025-07-11T07:38:00Z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