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47B8585A" w:rsidR="00B66C63" w:rsidRPr="00442654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442654">
        <w:rPr>
          <w:color w:val="00362C"/>
        </w:rPr>
        <w:t xml:space="preserve">Underleverantörsintyg – </w:t>
      </w:r>
      <w:r w:rsidR="00BB0285" w:rsidRPr="00442654">
        <w:rPr>
          <w:color w:val="00362C"/>
        </w:rPr>
        <w:t>Konstläder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5525D8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4BD4C8B7" w14:textId="3D24E388" w:rsidR="00BB0285" w:rsidRDefault="00BB0285" w:rsidP="00990C46">
      <w:pPr>
        <w:pStyle w:val="Brdtext"/>
        <w:rPr>
          <w:color w:val="69BD28"/>
          <w:sz w:val="28"/>
        </w:rPr>
      </w:pPr>
      <w:bookmarkStart w:id="1" w:name="_Toc135223818"/>
    </w:p>
    <w:p w14:paraId="4B39A415" w14:textId="77777777" w:rsidR="00BB0285" w:rsidRDefault="00BB0285" w:rsidP="00990C46">
      <w:pPr>
        <w:pStyle w:val="Brdtext"/>
        <w:rPr>
          <w:color w:val="69BD28"/>
          <w:sz w:val="28"/>
        </w:rPr>
      </w:pPr>
    </w:p>
    <w:p w14:paraId="7B71E8C6" w14:textId="0CB30BB5" w:rsidR="00990C46" w:rsidRPr="00442654" w:rsidRDefault="00990C46" w:rsidP="00990C46">
      <w:pPr>
        <w:pStyle w:val="Brdtext"/>
        <w:rPr>
          <w:color w:val="008387"/>
          <w:sz w:val="28"/>
        </w:rPr>
      </w:pPr>
      <w:r w:rsidRPr="00442654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442654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442654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442654">
              <w:rPr>
                <w:color w:val="008387"/>
                <w:sz w:val="14"/>
                <w:szCs w:val="14"/>
              </w:rPr>
              <w:t>     </w:t>
            </w:r>
            <w:r w:rsidRPr="00442654">
              <w:rPr>
                <w:rFonts w:ascii="Calibri" w:hAnsi="Calibri" w:cs="Calibri"/>
                <w:color w:val="008387"/>
                <w:sz w:val="28"/>
                <w:szCs w:val="28"/>
              </w:rPr>
              <w:t>SVHC/ECHA:s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Inga kemiska ämnen upptagna på ECHA:s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6EDE9E6" w14:textId="77777777" w:rsidR="002B1545" w:rsidRPr="00442654" w:rsidRDefault="002B1545" w:rsidP="002B1545">
      <w:pPr>
        <w:keepNext/>
        <w:keepLines/>
        <w:numPr>
          <w:ilvl w:val="2"/>
          <w:numId w:val="0"/>
        </w:numPr>
        <w:spacing w:before="200" w:after="0" w:line="276" w:lineRule="auto"/>
        <w:ind w:left="720" w:hanging="720"/>
        <w:outlineLvl w:val="2"/>
        <w:rPr>
          <w:rFonts w:ascii="Calibri" w:eastAsia="MS Gothic" w:hAnsi="Calibri" w:cs="Times New Roman"/>
          <w:b/>
          <w:bCs/>
          <w:color w:val="008387"/>
          <w:sz w:val="28"/>
          <w:szCs w:val="22"/>
        </w:rPr>
      </w:pPr>
      <w:bookmarkStart w:id="3" w:name="_Toc358884145"/>
      <w:bookmarkStart w:id="4" w:name="_Toc459276957"/>
      <w:bookmarkStart w:id="5" w:name="_Toc84600153"/>
      <w:r w:rsidRPr="00442654">
        <w:rPr>
          <w:rFonts w:ascii="Calibri" w:eastAsia="MS Gothic" w:hAnsi="Calibri" w:cs="Times New Roman"/>
          <w:b/>
          <w:bCs/>
          <w:color w:val="008387"/>
          <w:sz w:val="28"/>
          <w:szCs w:val="22"/>
        </w:rPr>
        <w:t>2.1.4 Plast</w:t>
      </w:r>
      <w:bookmarkEnd w:id="3"/>
      <w:r w:rsidRPr="00442654">
        <w:rPr>
          <w:rFonts w:ascii="Calibri" w:eastAsia="MS Gothic" w:hAnsi="Calibri" w:cs="Times New Roman"/>
          <w:b/>
          <w:bCs/>
          <w:color w:val="008387"/>
          <w:sz w:val="28"/>
          <w:szCs w:val="22"/>
        </w:rPr>
        <w:t xml:space="preserve"> och gummi</w:t>
      </w:r>
      <w:bookmarkEnd w:id="4"/>
      <w:bookmarkEnd w:id="5"/>
    </w:p>
    <w:tbl>
      <w:tblPr>
        <w:tblStyle w:val="TableGrid2"/>
        <w:tblW w:w="9606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F2F2F2"/>
        <w:tblLook w:val="04A0" w:firstRow="1" w:lastRow="0" w:firstColumn="1" w:lastColumn="0" w:noHBand="0" w:noVBand="1"/>
      </w:tblPr>
      <w:tblGrid>
        <w:gridCol w:w="9606"/>
      </w:tblGrid>
      <w:tr w:rsidR="002B1545" w:rsidRPr="008F2589" w14:paraId="61A5ACD2" w14:textId="77777777" w:rsidTr="002B1545">
        <w:trPr>
          <w:trHeight w:val="624"/>
        </w:trPr>
        <w:tc>
          <w:tcPr>
            <w:tcW w:w="9606" w:type="dxa"/>
            <w:shd w:val="clear" w:color="auto" w:fill="auto"/>
            <w:vAlign w:val="center"/>
          </w:tcPr>
          <w:p w14:paraId="7DA81828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Detta avsnitt inkluderar plastdelar, gummidelar, stoppningsmaterial som innehåller plast (t ex cellplast eller polyuretanskum), vävplast, konstläder och plastbeläggning på textil, skinn och läder.</w:t>
            </w:r>
          </w:p>
          <w:p w14:paraId="34B3AB45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7BEA2BF7" w14:textId="0C447DB7" w:rsidR="002B1545" w:rsidRPr="00F4606B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Vävplast/konstläder märkt med Oeko-Tex 100 produktklass I, II uppfyller samtliga krav med undantag för 2.1.4.3</w:t>
            </w:r>
            <w:r w:rsid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 xml:space="preserve"> PVC </w:t>
            </w:r>
            <w:r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som måste verifieras separat</w:t>
            </w:r>
            <w:r w:rsidR="00F4606B"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 xml:space="preserve"> (Förekomst av PVC framgår av intyget)</w:t>
            </w:r>
          </w:p>
        </w:tc>
      </w:tr>
    </w:tbl>
    <w:p w14:paraId="2BE3EB80" w14:textId="6D4B02E2" w:rsidR="002B1545" w:rsidRDefault="002B1545" w:rsidP="002B1545">
      <w:pPr>
        <w:rPr>
          <w:rFonts w:ascii="Arial" w:hAnsi="Arial" w:cs="Arial"/>
          <w:color w:val="92D050"/>
          <w:sz w:val="32"/>
          <w:szCs w:val="32"/>
        </w:rPr>
      </w:pPr>
    </w:p>
    <w:tbl>
      <w:tblPr>
        <w:tblW w:w="9488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37"/>
      </w:tblGrid>
      <w:tr w:rsidR="002B1545" w:rsidRPr="002B1545" w14:paraId="7F5DEA2F" w14:textId="77777777" w:rsidTr="002B1545">
        <w:trPr>
          <w:trHeight w:val="567"/>
        </w:trPr>
        <w:tc>
          <w:tcPr>
            <w:tcW w:w="948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69AE" w14:textId="77777777" w:rsidR="002B1545" w:rsidRPr="00442654" w:rsidRDefault="002B1545" w:rsidP="002B1545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442654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2.1.4.1</w:t>
            </w:r>
            <w:r w:rsidRPr="00442654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442654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Flamskyddsmedel i plast/gummi</w:t>
            </w:r>
          </w:p>
        </w:tc>
      </w:tr>
      <w:tr w:rsidR="002B1545" w:rsidRPr="002B1545" w14:paraId="58634466" w14:textId="77777777" w:rsidTr="002B1545">
        <w:trPr>
          <w:trHeight w:val="810"/>
        </w:trPr>
        <w:tc>
          <w:tcPr>
            <w:tcW w:w="948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1332" w14:textId="1E454FFD" w:rsidR="002B1545" w:rsidRPr="002B1545" w:rsidRDefault="006251F8" w:rsidP="002B154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N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edan flamskyddsmedel </w:t>
            </w: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har 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inte aktivt tillsatts eller att dess halt max uppgår till 0,1 vikt% uppmätt värde per plast/gummi. Detta krav gäller inte ingående elektronik (t.ex. elmotorer och elkablar). Små plastdelar &lt; 100 g (t ex skruvar, stift och fästanordningar) omfattas inte av kravet.</w:t>
            </w:r>
          </w:p>
        </w:tc>
      </w:tr>
      <w:tr w:rsidR="002B1545" w:rsidRPr="002B1545" w14:paraId="009FCD4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1B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89C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2B1545" w:rsidRPr="002B1545" w14:paraId="195C662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97F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401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2B1545" w:rsidRPr="002B1545" w14:paraId="75133E9D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5D8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0E8F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2B1545" w:rsidRPr="002B1545" w14:paraId="2A554C03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15D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401C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2B1545" w:rsidRPr="002B1545" w14:paraId="17B30FA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0C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23B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2B1545" w:rsidRPr="002B1545" w14:paraId="7D78E48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9226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87C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28"/>
        <w:gridCol w:w="1660"/>
        <w:gridCol w:w="1525"/>
        <w:gridCol w:w="2185"/>
      </w:tblGrid>
      <w:tr w:rsidR="002B1545" w14:paraId="4B700FBD" w14:textId="77777777" w:rsidTr="002B1545">
        <w:trPr>
          <w:trHeight w:val="57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44D757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438230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760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8A3A60B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85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4925D52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379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5CA32C0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8F2589" w14:paraId="52E44CF0" w14:textId="77777777" w:rsidTr="002B1545">
        <w:trPr>
          <w:trHeight w:hRule="exact" w:val="567"/>
        </w:trPr>
        <w:tc>
          <w:tcPr>
            <w:tcW w:w="9464" w:type="dxa"/>
          </w:tcPr>
          <w:p w14:paraId="0909AAA6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lastRenderedPageBreak/>
              <w:t>2.1.4.2 Mjukgörare/ftalater i plast/gummi</w:t>
            </w:r>
          </w:p>
        </w:tc>
      </w:tr>
      <w:tr w:rsidR="002B1545" w:rsidRPr="008F2589" w14:paraId="1233BFCF" w14:textId="77777777" w:rsidTr="002B1545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1B687A97" w14:textId="77777777" w:rsidR="002B1545" w:rsidRPr="004426DA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16C614E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BC21740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002D84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830EB1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67B7F1DA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52ADE2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2B1545" w:rsidRPr="008F2589" w14:paraId="706D47D0" w14:textId="77777777" w:rsidTr="002B1545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189A3EF0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2B1545" w14:paraId="3CD43DE7" w14:textId="77777777" w:rsidTr="002B1545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2B68F378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745114A3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6591AD72" w14:textId="77777777" w:rsidR="002B1545" w:rsidRPr="008F2589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20B7CE8D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467BAC6C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119283BA" w14:textId="77777777" w:rsidR="002B1545" w:rsidRPr="00E4784F" w:rsidRDefault="002B1545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2B1545" w14:paraId="0B887D37" w14:textId="77777777" w:rsidTr="002B1545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72B02F4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C11B55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E65C30F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0F900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DB2363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4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03EA0DC5" w14:textId="77777777" w:rsidTr="002B1545">
        <w:trPr>
          <w:trHeight w:hRule="exact" w:val="567"/>
        </w:trPr>
        <w:tc>
          <w:tcPr>
            <w:tcW w:w="9464" w:type="dxa"/>
          </w:tcPr>
          <w:p w14:paraId="78D7A536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2.1.4.3 PVC</w:t>
            </w:r>
          </w:p>
        </w:tc>
      </w:tr>
      <w:tr w:rsidR="002B1545" w:rsidRPr="004B4BB7" w14:paraId="4DF0B069" w14:textId="77777777" w:rsidTr="002B1545">
        <w:trPr>
          <w:trHeight w:val="778"/>
        </w:trPr>
        <w:tc>
          <w:tcPr>
            <w:tcW w:w="9464" w:type="dxa"/>
            <w:vAlign w:val="center"/>
          </w:tcPr>
          <w:p w14:paraId="7D3291AC" w14:textId="37FB3058" w:rsidR="002B1545" w:rsidRDefault="00F4606B" w:rsidP="0088171E">
            <w:pPr>
              <w:tabs>
                <w:tab w:val="left" w:pos="3792"/>
              </w:tabs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plastdetaljer, inklusive vävplast/konstläder, inte innehåller PVC. Detta krav gäller inte för elektriska komponenter (t.ex. elkablar), sjukhusväv/urinväv eller vävplast/konstläder på möbler avsedda för vårdmiljö där regelbunden spritning krävs. Små plastdelar &lt;100 g (t ex skruvar, stift och fästanordningar) omfattas inte av kravet.</w:t>
            </w:r>
          </w:p>
          <w:p w14:paraId="451EE980" w14:textId="1A4C53AB" w:rsidR="002B1545" w:rsidRPr="004B4BB7" w:rsidRDefault="002B1545" w:rsidP="0088171E">
            <w:pPr>
              <w:tabs>
                <w:tab w:val="left" w:pos="3792"/>
              </w:tabs>
              <w:rPr>
                <w:rFonts w:eastAsia="Calibri" w:cs="Times New Roman"/>
                <w:bCs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3CE39F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50B60B2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72D688C5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7384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B49D0D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163764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9DDE23C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387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DB06C12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5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37C8FDED" w14:textId="77777777" w:rsidTr="002B1545">
        <w:trPr>
          <w:trHeight w:hRule="exact" w:val="567"/>
        </w:trPr>
        <w:tc>
          <w:tcPr>
            <w:tcW w:w="9464" w:type="dxa"/>
          </w:tcPr>
          <w:p w14:paraId="242EF064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2.1.4.4 Pigment i plast/gummi</w:t>
            </w:r>
          </w:p>
        </w:tc>
      </w:tr>
      <w:tr w:rsidR="002B1545" w:rsidRPr="004B4BB7" w14:paraId="1B0BA3AA" w14:textId="77777777" w:rsidTr="002B1545">
        <w:trPr>
          <w:trHeight w:val="832"/>
        </w:trPr>
        <w:tc>
          <w:tcPr>
            <w:tcW w:w="9464" w:type="dxa"/>
            <w:vAlign w:val="center"/>
          </w:tcPr>
          <w:p w14:paraId="1573AFC5" w14:textId="70CAC4E7" w:rsidR="002B1545" w:rsidRDefault="006251F8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P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igment eller tillsatser baserade på arsenik, bly, kadmium, tenn, krom VI eller kvicksilver inte aktivt tillsatts eller att dess halt max uppgår till 0,01 vikt% uppmätt värde per detalj. Små plastdelar &lt;100 g (t ex skruvar, stift och fästanordningar) omfattas inte av kravet.</w:t>
            </w:r>
          </w:p>
          <w:p w14:paraId="34C23F85" w14:textId="798F9C7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0689979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03D212A4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D21D387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2002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5BCB37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2915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33EAD42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2702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2B42FB6" w14:textId="541C3893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9B3526B" w14:textId="77777777" w:rsidR="002B1545" w:rsidRDefault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37A1C556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6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1D6964CD" w14:textId="77777777" w:rsidTr="002B1545">
        <w:trPr>
          <w:trHeight w:hRule="exact" w:val="567"/>
        </w:trPr>
        <w:tc>
          <w:tcPr>
            <w:tcW w:w="9464" w:type="dxa"/>
          </w:tcPr>
          <w:p w14:paraId="55970360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2.1.4.5 Kortkedjiga klorparaffiner (SCCP) i plast/gummi</w:t>
            </w:r>
          </w:p>
        </w:tc>
      </w:tr>
      <w:tr w:rsidR="002B1545" w:rsidRPr="004B4BB7" w14:paraId="730729EC" w14:textId="77777777" w:rsidTr="002B1545">
        <w:trPr>
          <w:trHeight w:val="830"/>
        </w:trPr>
        <w:tc>
          <w:tcPr>
            <w:tcW w:w="9464" w:type="dxa"/>
            <w:shd w:val="clear" w:color="auto" w:fill="auto"/>
            <w:vAlign w:val="center"/>
          </w:tcPr>
          <w:p w14:paraId="4CB386CE" w14:textId="05A733A4" w:rsidR="002B1545" w:rsidRDefault="006251F8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plast/gummi, inklusive vävplast/konstläder inte har aktiv tillsats av, eller innehåller kortkedjiga klorparaffiner (SCCP). Uppmätt värde per detalj får inte överskrida 0,01 vikt%. Små plastdelar &lt;100 g (t ex skruvar, stift och fästanordningar) omfattas inte av kravet.</w:t>
            </w:r>
          </w:p>
          <w:p w14:paraId="6F4CDEAB" w14:textId="196B83F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902E63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98C98E8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1D2E08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7737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1FCC2F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9298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8D00D03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74477B0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3FE4DA7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F024F6A" w14:textId="2BD09D8B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Möbelfaktas kravspecifikation </w:t>
      </w:r>
      <w:r w:rsidR="008E383C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per datum nedan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3301F7F7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A387055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B0285">
      <w:rPr>
        <w:rFonts w:asciiTheme="majorHAnsi" w:hAnsiTheme="majorHAnsi" w:cstheme="majorHAnsi"/>
        <w:color w:val="747678"/>
        <w:sz w:val="22"/>
      </w:rPr>
      <w:t>K</w:t>
    </w:r>
    <w:r w:rsidR="005E1C50">
      <w:rPr>
        <w:rFonts w:asciiTheme="majorHAnsi" w:hAnsiTheme="majorHAnsi" w:cstheme="majorHAnsi"/>
        <w:color w:val="747678"/>
        <w:sz w:val="22"/>
      </w:rPr>
      <w:t>o</w:t>
    </w:r>
    <w:r w:rsidR="00BB0285">
      <w:rPr>
        <w:rFonts w:asciiTheme="majorHAnsi" w:hAnsiTheme="majorHAnsi" w:cstheme="majorHAnsi"/>
        <w:color w:val="747678"/>
        <w:sz w:val="22"/>
      </w:rPr>
      <w:t>nstläder</w:t>
    </w:r>
  </w:p>
  <w:p w14:paraId="12EA9826" w14:textId="0A7BADBE" w:rsidR="001E4C52" w:rsidRDefault="00442654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1212958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lUwKETnoGNI/eyeEmFfrQaD3wpQS04wSf+WEl/jvnOHjFbf247WjBLLV/03ucXXmU5pSLSuPtrwh12/jJgmog==" w:salt="V2aV9RAe4SDfp1lg9c+Elg==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4348A"/>
    <w:rsid w:val="00161F10"/>
    <w:rsid w:val="001C360E"/>
    <w:rsid w:val="001E4C52"/>
    <w:rsid w:val="00200BDC"/>
    <w:rsid w:val="00226702"/>
    <w:rsid w:val="00236BD3"/>
    <w:rsid w:val="002855A6"/>
    <w:rsid w:val="002B1545"/>
    <w:rsid w:val="003172A4"/>
    <w:rsid w:val="003B6F4C"/>
    <w:rsid w:val="003E6A0C"/>
    <w:rsid w:val="00442654"/>
    <w:rsid w:val="00470E0E"/>
    <w:rsid w:val="00481DB9"/>
    <w:rsid w:val="00483F1D"/>
    <w:rsid w:val="004B7F59"/>
    <w:rsid w:val="00510619"/>
    <w:rsid w:val="005525D8"/>
    <w:rsid w:val="005872E8"/>
    <w:rsid w:val="00595877"/>
    <w:rsid w:val="005A29D5"/>
    <w:rsid w:val="005E1C50"/>
    <w:rsid w:val="005E3F03"/>
    <w:rsid w:val="00613968"/>
    <w:rsid w:val="0062451D"/>
    <w:rsid w:val="006251F8"/>
    <w:rsid w:val="00691893"/>
    <w:rsid w:val="006D73B1"/>
    <w:rsid w:val="007028F0"/>
    <w:rsid w:val="00723DAC"/>
    <w:rsid w:val="007246F9"/>
    <w:rsid w:val="00734819"/>
    <w:rsid w:val="00742840"/>
    <w:rsid w:val="00743610"/>
    <w:rsid w:val="007545A8"/>
    <w:rsid w:val="00765784"/>
    <w:rsid w:val="007E2B51"/>
    <w:rsid w:val="007E7A52"/>
    <w:rsid w:val="0080256C"/>
    <w:rsid w:val="00811533"/>
    <w:rsid w:val="00813CFC"/>
    <w:rsid w:val="00864F40"/>
    <w:rsid w:val="008E383C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6097D"/>
    <w:rsid w:val="00B66C63"/>
    <w:rsid w:val="00BA0746"/>
    <w:rsid w:val="00BB0285"/>
    <w:rsid w:val="00BB0789"/>
    <w:rsid w:val="00C431CE"/>
    <w:rsid w:val="00C44274"/>
    <w:rsid w:val="00CE453B"/>
    <w:rsid w:val="00D27C8D"/>
    <w:rsid w:val="00D406AB"/>
    <w:rsid w:val="00D53368"/>
    <w:rsid w:val="00D76873"/>
    <w:rsid w:val="00D81B42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4606B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45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1">
    <w:name w:val="Table Grid1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BB0285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5A29D5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54546A33-72F3-4737-8851-805B88BF6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2025-07-10T13:50:00Z</dcterms:created>
  <dcterms:modified xsi:type="dcterms:W3CDTF">2025-07-11T07:51:00Z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